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B2F679" w14:textId="77777777" w:rsidR="00AA0EF4" w:rsidRDefault="00AA0EF4" w:rsidP="00AA0EF4">
      <w:pPr>
        <w:spacing w:before="120" w:after="120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Trybunał Konstytucyjny 4 czerwca 2024 r. wydał wyrok w sprawie obliczania emerytury poprzez pomniejszenie podstawy obliczenia emerytury z wieku powszechnego o kwotę wcześniej pobranych emerytur. T</w:t>
      </w:r>
      <w:r w:rsidR="00D95909">
        <w:rPr>
          <w:rFonts w:cstheme="minorHAnsi"/>
          <w:color w:val="000000" w:themeColor="text1"/>
        </w:rPr>
        <w:t>rybunał Konstytucyjny uznał</w:t>
      </w:r>
      <w:r>
        <w:rPr>
          <w:rFonts w:cstheme="minorHAnsi"/>
          <w:color w:val="000000" w:themeColor="text1"/>
        </w:rPr>
        <w:t xml:space="preserve">, że przepis art. 25 ust. 1b ustawy z dnia 17 grudnia 1998 r. </w:t>
      </w:r>
      <w:r>
        <w:rPr>
          <w:rFonts w:cstheme="minorHAnsi"/>
          <w:color w:val="000000" w:themeColor="text1"/>
        </w:rPr>
        <w:br/>
        <w:t>o emeryturach i rentach z F</w:t>
      </w:r>
      <w:r w:rsidR="00D95909">
        <w:rPr>
          <w:rFonts w:cstheme="minorHAnsi"/>
          <w:color w:val="000000" w:themeColor="text1"/>
        </w:rPr>
        <w:t>unduszu Ubezpieczeń Społecznych</w:t>
      </w:r>
      <w:r>
        <w:rPr>
          <w:rFonts w:cstheme="minorHAnsi"/>
          <w:color w:val="000000" w:themeColor="text1"/>
        </w:rPr>
        <w:t xml:space="preserve"> w zakresie, w jakim dotyczy osób, które złożyły wniosek o przyznanie świadczeń, o których mowa w tym przepisie, przed 6 czerwca 2012 r., jest niezgodny z art. 67ust. 1 w związku z art. 2 Konstytucji Rzeczpospolitej Polskiej.</w:t>
      </w:r>
    </w:p>
    <w:p w14:paraId="2CA655C0" w14:textId="77777777" w:rsidR="00AA0EF4" w:rsidRPr="009B3487" w:rsidRDefault="00AA0EF4" w:rsidP="00AA0EF4">
      <w:pPr>
        <w:spacing w:before="120" w:after="120"/>
        <w:jc w:val="both"/>
        <w:rPr>
          <w:rFonts w:cstheme="minorHAnsi"/>
          <w:color w:val="000000" w:themeColor="text1"/>
        </w:rPr>
      </w:pPr>
      <w:r w:rsidRPr="009B3487">
        <w:rPr>
          <w:rFonts w:cstheme="minorHAnsi"/>
          <w:color w:val="000000" w:themeColor="text1"/>
        </w:rPr>
        <w:t>Uzasadnienie ww. wyroku zostało opublikowane 19 sierpnia 2024 r. w Zbiorze Urzędowym Orzecznictwo Trybunału Konstytucyjnego (Seria A, Pozycja 67). Natomiast d</w:t>
      </w:r>
      <w:r w:rsidRPr="009B3487">
        <w:rPr>
          <w:rFonts w:cstheme="minorHAnsi"/>
          <w:bCs/>
          <w:color w:val="000000" w:themeColor="text1"/>
        </w:rPr>
        <w:t>o chwili obecnej ww. wyrok nie został ogłoszony w Dzienniku Ustaw</w:t>
      </w:r>
      <w:r w:rsidRPr="009B3487">
        <w:rPr>
          <w:rFonts w:cstheme="minorHAnsi"/>
          <w:color w:val="000000" w:themeColor="text1"/>
        </w:rPr>
        <w:t xml:space="preserve"> </w:t>
      </w:r>
      <w:r w:rsidRPr="009B3487">
        <w:rPr>
          <w:rFonts w:cstheme="minorHAnsi"/>
          <w:bCs/>
          <w:color w:val="000000" w:themeColor="text1"/>
        </w:rPr>
        <w:t>Rzeczypospolitej Polskiej.</w:t>
      </w:r>
    </w:p>
    <w:p w14:paraId="04347FC5" w14:textId="77777777" w:rsidR="00AA0EF4" w:rsidRPr="009E1250" w:rsidRDefault="00AA0EF4" w:rsidP="00AA0EF4">
      <w:pPr>
        <w:spacing w:before="120" w:after="120"/>
        <w:jc w:val="both"/>
        <w:rPr>
          <w:rFonts w:eastAsia="Calibri" w:cstheme="minorHAnsi"/>
          <w:bCs/>
          <w14:ligatures w14:val="standardContextual"/>
        </w:rPr>
      </w:pPr>
      <w:r w:rsidRPr="009E1250">
        <w:rPr>
          <w:rFonts w:eastAsia="Calibri" w:cstheme="minorHAnsi"/>
          <w:bCs/>
          <w14:ligatures w14:val="standardContextual"/>
        </w:rPr>
        <w:t xml:space="preserve">Jednocześnie należy zauważyć, że w polskim systemie prawnym istnieje możliwość ponownego rozpoznania i rozstrzygnięcia sprawy administracyjnej zakończonej decyzją ostateczną, jeżeli postępowanie, w którym ona zapadła było dotknięte kwalifikowaną wadliwością wyliczoną </w:t>
      </w:r>
      <w:r>
        <w:rPr>
          <w:rFonts w:eastAsia="Calibri" w:cstheme="minorHAnsi"/>
          <w:bCs/>
          <w14:ligatures w14:val="standardContextual"/>
        </w:rPr>
        <w:br/>
      </w:r>
      <w:r w:rsidRPr="009E1250">
        <w:rPr>
          <w:rFonts w:eastAsia="Calibri" w:cstheme="minorHAnsi"/>
          <w:bCs/>
          <w14:ligatures w14:val="standardContextual"/>
        </w:rPr>
        <w:t>w Kodeksie postępowania administracyjnego</w:t>
      </w:r>
      <w:r w:rsidRPr="009E1250">
        <w:rPr>
          <w:rStyle w:val="Odwoanieprzypisudolnego"/>
          <w:rFonts w:eastAsia="Calibri" w:cstheme="minorHAnsi"/>
          <w:bCs/>
          <w14:ligatures w14:val="standardContextual"/>
        </w:rPr>
        <w:footnoteReference w:id="1"/>
      </w:r>
      <w:r w:rsidRPr="009E1250">
        <w:rPr>
          <w:rFonts w:eastAsia="Calibri" w:cstheme="minorHAnsi"/>
          <w:bCs/>
          <w14:ligatures w14:val="standardContextual"/>
        </w:rPr>
        <w:t>, a konkretnie w jego Rozdziale 12. Otóż, k.p.a.</w:t>
      </w:r>
      <w:r w:rsidRPr="009E1250">
        <w:rPr>
          <w:rFonts w:cstheme="minorHAnsi"/>
          <w:shd w:val="clear" w:color="auto" w:fill="FFFFFF"/>
        </w:rPr>
        <w:t xml:space="preserve"> wymienia w art. 145 § 1 osiem przesłanek skutkujących wznowieniem postępowania zakończonego decyzją ostateczną. Jest to </w:t>
      </w:r>
      <w:r w:rsidRPr="009E1250">
        <w:rPr>
          <w:rFonts w:cstheme="minorHAnsi"/>
          <w:bCs/>
          <w:shd w:val="clear" w:color="auto" w:fill="FFFFFF"/>
        </w:rPr>
        <w:t>katalog zamknięty</w:t>
      </w:r>
      <w:r w:rsidRPr="009E1250">
        <w:rPr>
          <w:rFonts w:cstheme="minorHAnsi"/>
          <w:shd w:val="clear" w:color="auto" w:fill="FFFFFF"/>
        </w:rPr>
        <w:t xml:space="preserve">, uzupełniony jedynie o przesłankę zawartą w </w:t>
      </w:r>
      <w:hyperlink r:id="rId6" w:history="1">
        <w:r w:rsidRPr="00AA0EF4">
          <w:rPr>
            <w:rStyle w:val="Hipercze"/>
            <w:rFonts w:cstheme="minorHAnsi"/>
            <w:color w:val="000000" w:themeColor="text1"/>
            <w:u w:val="none"/>
            <w:shd w:val="clear" w:color="auto" w:fill="FFFFFF"/>
          </w:rPr>
          <w:t>art. 145a</w:t>
        </w:r>
      </w:hyperlink>
      <w:r w:rsidRPr="00AA0EF4">
        <w:rPr>
          <w:rFonts w:cstheme="minorHAnsi"/>
          <w:color w:val="000000" w:themeColor="text1"/>
          <w:shd w:val="clear" w:color="auto" w:fill="FFFFFF"/>
        </w:rPr>
        <w:t xml:space="preserve">, </w:t>
      </w:r>
      <w:hyperlink r:id="rId7" w:history="1">
        <w:r w:rsidRPr="00AA0EF4">
          <w:rPr>
            <w:rStyle w:val="Hipercze"/>
            <w:rFonts w:cstheme="minorHAnsi"/>
            <w:color w:val="000000" w:themeColor="text1"/>
            <w:u w:val="none"/>
            <w:shd w:val="clear" w:color="auto" w:fill="FFFFFF"/>
          </w:rPr>
          <w:t>145aa</w:t>
        </w:r>
      </w:hyperlink>
      <w:r w:rsidRPr="00AA0EF4">
        <w:rPr>
          <w:rFonts w:cstheme="minorHAnsi"/>
          <w:color w:val="000000" w:themeColor="text1"/>
        </w:rPr>
        <w:t>,</w:t>
      </w:r>
      <w:r w:rsidRPr="00AA0EF4">
        <w:rPr>
          <w:rFonts w:cstheme="minorHAnsi"/>
          <w:color w:val="000000" w:themeColor="text1"/>
          <w:shd w:val="clear" w:color="auto" w:fill="FFFFFF"/>
        </w:rPr>
        <w:t xml:space="preserve"> oraz </w:t>
      </w:r>
      <w:hyperlink r:id="rId8" w:history="1">
        <w:r w:rsidRPr="00AA0EF4">
          <w:rPr>
            <w:rStyle w:val="Hipercze"/>
            <w:rFonts w:cstheme="minorHAnsi"/>
            <w:color w:val="000000" w:themeColor="text1"/>
            <w:u w:val="none"/>
            <w:shd w:val="clear" w:color="auto" w:fill="FFFFFF"/>
          </w:rPr>
          <w:t>145b</w:t>
        </w:r>
      </w:hyperlink>
      <w:r w:rsidRPr="00AA0EF4">
        <w:rPr>
          <w:rFonts w:cstheme="minorHAnsi"/>
          <w:color w:val="000000" w:themeColor="text1"/>
          <w:shd w:val="clear" w:color="auto" w:fill="FFFFFF"/>
        </w:rPr>
        <w:t xml:space="preserve"> k.p.a.</w:t>
      </w:r>
      <w:r w:rsidRPr="009E1250">
        <w:rPr>
          <w:rFonts w:cstheme="minorHAnsi"/>
          <w:shd w:val="clear" w:color="auto" w:fill="FFFFFF"/>
        </w:rPr>
        <w:t xml:space="preserve"> Wznowienie postępowania na podstawie k.p.a. może więc zostać uruchomione z powodu wystąpienia jednej z </w:t>
      </w:r>
      <w:r w:rsidRPr="009E1250">
        <w:rPr>
          <w:rFonts w:cstheme="minorHAnsi"/>
          <w:bCs/>
          <w:shd w:val="clear" w:color="auto" w:fill="FFFFFF"/>
        </w:rPr>
        <w:t>jedenastu przesłanek</w:t>
      </w:r>
      <w:r w:rsidRPr="009E1250">
        <w:rPr>
          <w:rFonts w:cstheme="minorHAnsi"/>
          <w:shd w:val="clear" w:color="auto" w:fill="FFFFFF"/>
        </w:rPr>
        <w:t xml:space="preserve">. Wszczęcie postępowania wznowieniowego nie jest więc możliwe z innych przyczyn, chyba że przepisy szczególne przewidują </w:t>
      </w:r>
      <w:r>
        <w:rPr>
          <w:rFonts w:cstheme="minorHAnsi"/>
          <w:shd w:val="clear" w:color="auto" w:fill="FFFFFF"/>
        </w:rPr>
        <w:br/>
      </w:r>
      <w:r w:rsidRPr="009E1250">
        <w:rPr>
          <w:rFonts w:cstheme="minorHAnsi"/>
          <w:shd w:val="clear" w:color="auto" w:fill="FFFFFF"/>
        </w:rPr>
        <w:t>w konkretnych przypadkach taką możliwość</w:t>
      </w:r>
      <w:r>
        <w:rPr>
          <w:rFonts w:cstheme="minorHAnsi"/>
          <w:shd w:val="clear" w:color="auto" w:fill="FFFFFF"/>
        </w:rPr>
        <w:t>.</w:t>
      </w:r>
    </w:p>
    <w:p w14:paraId="6D1653F3" w14:textId="77777777" w:rsidR="00AA0EF4" w:rsidRPr="00A97B56" w:rsidRDefault="00AA0EF4" w:rsidP="00AA0EF4">
      <w:pPr>
        <w:spacing w:before="120" w:after="120"/>
        <w:jc w:val="both"/>
        <w:rPr>
          <w:rFonts w:cstheme="minorHAnsi"/>
          <w:shd w:val="clear" w:color="auto" w:fill="FFFFFF"/>
        </w:rPr>
      </w:pPr>
      <w:r w:rsidRPr="009E1250">
        <w:rPr>
          <w:rFonts w:cstheme="minorHAnsi"/>
          <w:shd w:val="clear" w:color="auto" w:fill="FFFFFF"/>
        </w:rPr>
        <w:t xml:space="preserve">Przy okazji pamiętać trzeba, że wszczęcie postępowania wznowieniowego nie przesądza jeszcze </w:t>
      </w:r>
      <w:r>
        <w:rPr>
          <w:rFonts w:cstheme="minorHAnsi"/>
          <w:shd w:val="clear" w:color="auto" w:fill="FFFFFF"/>
        </w:rPr>
        <w:br/>
      </w:r>
      <w:r w:rsidRPr="009E1250">
        <w:rPr>
          <w:rFonts w:cstheme="minorHAnsi"/>
          <w:shd w:val="clear" w:color="auto" w:fill="FFFFFF"/>
        </w:rPr>
        <w:t>o ostatecznej treści nowego rozstrzygnięcia w sprawie. Dopiero treść postępowania podjętego w tym trybie pozwoli określić, czy wskazana na początku, jako podstawa wszczęcia postępowania, wada proceduralna rzeczywiście wystąpiła, oraz czy wystąpienie tej wady miało wpływ na treść rozstrzygnięcia merytorycznego w sprawie. Wyłącznie w przypadku ustalenia tego typu okoliczności organ może wydać nową decyzję merytoryczną w sprawie.</w:t>
      </w:r>
    </w:p>
    <w:p w14:paraId="0C9F71A3" w14:textId="77777777" w:rsidR="00AA0EF4" w:rsidRPr="009B3487" w:rsidRDefault="00AA0EF4" w:rsidP="00AA0EF4">
      <w:pPr>
        <w:spacing w:before="120" w:after="120"/>
        <w:jc w:val="both"/>
        <w:rPr>
          <w:rFonts w:cstheme="minorHAnsi"/>
        </w:rPr>
      </w:pPr>
      <w:r w:rsidRPr="00C86F34">
        <w:rPr>
          <w:rFonts w:cstheme="minorHAnsi"/>
        </w:rPr>
        <w:t xml:space="preserve">Świadczeniobiorca może </w:t>
      </w:r>
      <w:r w:rsidRPr="009E1250">
        <w:rPr>
          <w:rFonts w:cstheme="minorHAnsi"/>
        </w:rPr>
        <w:t>więc</w:t>
      </w:r>
      <w:r w:rsidRPr="00C86F34">
        <w:rPr>
          <w:rFonts w:cstheme="minorHAnsi"/>
        </w:rPr>
        <w:t xml:space="preserve"> żądać </w:t>
      </w:r>
      <w:r w:rsidRPr="009B3487">
        <w:rPr>
          <w:rFonts w:cstheme="minorHAnsi"/>
        </w:rPr>
        <w:t>wznowienia postępowania</w:t>
      </w:r>
      <w:r w:rsidRPr="009B3487">
        <w:rPr>
          <w:rStyle w:val="Odwoanieprzypisudolnego"/>
          <w:rFonts w:cstheme="minorHAnsi"/>
        </w:rPr>
        <w:footnoteReference w:id="2"/>
      </w:r>
      <w:r w:rsidRPr="009B3487">
        <w:rPr>
          <w:rFonts w:cstheme="minorHAnsi"/>
        </w:rPr>
        <w:t xml:space="preserve"> w przypadku, gdy Trybunał Konstytucyjny orzekł o niezgodności aktu normatywnego z Konstytucją, umową międzynarodową lub z ustawą, na podstawie którego została wydana decyzja. Skargę o wznowienie postępowania</w:t>
      </w:r>
      <w:r w:rsidRPr="009B3487">
        <w:rPr>
          <w:rStyle w:val="Odwoanieprzypisudolnego"/>
          <w:rFonts w:cstheme="minorHAnsi"/>
        </w:rPr>
        <w:footnoteReference w:id="3"/>
      </w:r>
      <w:r w:rsidRPr="009B3487">
        <w:rPr>
          <w:rFonts w:cstheme="minorHAnsi"/>
        </w:rPr>
        <w:t xml:space="preserve"> może wnieść w terminie jednego miesiąca od dnia wejścia w życie orzeczenia Trybunału, tj. od dnia ogłoszenia orzeczenia w Dzienniku Ustaw.</w:t>
      </w:r>
    </w:p>
    <w:p w14:paraId="5BD74478" w14:textId="77777777" w:rsidR="00AA0EF4" w:rsidRPr="009B3487" w:rsidRDefault="00AA0EF4" w:rsidP="00AA0EF4">
      <w:pPr>
        <w:spacing w:before="120" w:after="120"/>
        <w:jc w:val="both"/>
        <w:rPr>
          <w:rFonts w:eastAsia="Times New Roman" w:cstheme="minorHAnsi"/>
          <w:lang w:eastAsia="pl-PL"/>
        </w:rPr>
      </w:pPr>
      <w:r w:rsidRPr="009B3487">
        <w:rPr>
          <w:rFonts w:cstheme="minorHAnsi"/>
        </w:rPr>
        <w:t xml:space="preserve">Z uwagi na to, że ww. wyrok TK nie został dotychczas ogłoszony w Dzienniku Ustaw, </w:t>
      </w:r>
      <w:r w:rsidRPr="009B3487">
        <w:rPr>
          <w:rFonts w:eastAsia="Times New Roman" w:cstheme="minorHAnsi"/>
          <w:lang w:eastAsia="pl-PL"/>
        </w:rPr>
        <w:t>brak jest podstaw do wznowienia postępowania w sprawie emerytury obliczonej z zastosowaniem</w:t>
      </w:r>
      <w:r>
        <w:rPr>
          <w:rFonts w:cstheme="minorHAnsi"/>
        </w:rPr>
        <w:t xml:space="preserve"> art. 25 </w:t>
      </w:r>
      <w:r w:rsidRPr="009B3487">
        <w:rPr>
          <w:rFonts w:cstheme="minorHAnsi"/>
        </w:rPr>
        <w:t xml:space="preserve">ust. 1b ustawy emerytalnej, </w:t>
      </w:r>
      <w:r w:rsidRPr="009B3487">
        <w:rPr>
          <w:rFonts w:eastAsia="Times New Roman" w:cstheme="minorHAnsi"/>
          <w:lang w:eastAsia="pl-PL"/>
        </w:rPr>
        <w:t>zakończonego decyzją ostat</w:t>
      </w:r>
      <w:r>
        <w:rPr>
          <w:rFonts w:eastAsia="Times New Roman" w:cstheme="minorHAnsi"/>
          <w:lang w:eastAsia="pl-PL"/>
        </w:rPr>
        <w:t xml:space="preserve">eczną. W związku z powyższym, w </w:t>
      </w:r>
      <w:r w:rsidRPr="009B3487">
        <w:rPr>
          <w:rFonts w:eastAsia="Times New Roman" w:cstheme="minorHAnsi"/>
          <w:lang w:eastAsia="pl-PL"/>
        </w:rPr>
        <w:t>razie złożenia skargi o wznowienie tego postępowania, organ rentowy</w:t>
      </w:r>
      <w:r w:rsidRPr="009B3487">
        <w:rPr>
          <w:rFonts w:cstheme="minorHAnsi"/>
        </w:rPr>
        <w:t xml:space="preserve"> </w:t>
      </w:r>
      <w:r w:rsidRPr="009B3487">
        <w:rPr>
          <w:rFonts w:eastAsia="Times New Roman" w:cstheme="minorHAnsi"/>
          <w:lang w:eastAsia="pl-PL"/>
        </w:rPr>
        <w:t xml:space="preserve">wyda decyzję o odmowie wznowienia </w:t>
      </w:r>
      <w:r w:rsidRPr="009B3487">
        <w:rPr>
          <w:rFonts w:eastAsia="Times New Roman" w:cstheme="minorHAnsi"/>
          <w:lang w:eastAsia="pl-PL"/>
        </w:rPr>
        <w:lastRenderedPageBreak/>
        <w:t>postępowania, z uwagi na brak podstawy prawnej wznowienia</w:t>
      </w:r>
      <w:r w:rsidRPr="009B3487">
        <w:rPr>
          <w:rStyle w:val="Odwoanieprzypisudolnego"/>
          <w:rFonts w:eastAsia="Times New Roman" w:cstheme="minorHAnsi"/>
          <w:lang w:eastAsia="pl-PL"/>
        </w:rPr>
        <w:footnoteReference w:id="4"/>
      </w:r>
      <w:r w:rsidRPr="009B3487">
        <w:rPr>
          <w:rFonts w:eastAsia="Times New Roman" w:cstheme="minorHAnsi"/>
          <w:lang w:eastAsia="pl-PL"/>
        </w:rPr>
        <w:t xml:space="preserve">. Od tej decyzji świadczeniobiorcy </w:t>
      </w:r>
      <w:r w:rsidRPr="009B3487">
        <w:rPr>
          <w:rFonts w:cstheme="minorHAnsi"/>
        </w:rPr>
        <w:t>przysługuje odwołanie do sądu powszechnego</w:t>
      </w:r>
      <w:r w:rsidRPr="009B3487">
        <w:rPr>
          <w:rStyle w:val="Odwoanieprzypisudolnego"/>
          <w:rFonts w:cstheme="minorHAnsi"/>
        </w:rPr>
        <w:footnoteReference w:id="5"/>
      </w:r>
      <w:r w:rsidRPr="009B3487">
        <w:rPr>
          <w:rFonts w:cstheme="minorHAnsi"/>
        </w:rPr>
        <w:t>.</w:t>
      </w:r>
    </w:p>
    <w:p w14:paraId="6C6A89A8" w14:textId="77777777" w:rsidR="00AA0EF4" w:rsidRPr="00A97B56" w:rsidRDefault="00AA0EF4" w:rsidP="00AA0EF4">
      <w:pPr>
        <w:spacing w:before="120" w:after="120"/>
        <w:jc w:val="both"/>
        <w:rPr>
          <w:rFonts w:cstheme="minorHAnsi"/>
        </w:rPr>
      </w:pPr>
      <w:r w:rsidRPr="009B3487">
        <w:rPr>
          <w:rFonts w:cstheme="minorHAnsi"/>
        </w:rPr>
        <w:t xml:space="preserve">Jednocześnie wyjaśniam, że każde pismo świadczeniobiorcy, z którego przynajmniej w sposób pośredni będzie wynikać, iż dotyczy ono żądania ponownego ustalenia wysokości emerytury </w:t>
      </w:r>
      <w:r>
        <w:rPr>
          <w:rFonts w:cstheme="minorHAnsi"/>
        </w:rPr>
        <w:br/>
      </w:r>
      <w:r w:rsidRPr="00C86F34">
        <w:rPr>
          <w:rFonts w:cstheme="minorHAnsi"/>
        </w:rPr>
        <w:t xml:space="preserve">z zastosowaniem wyroku Trybunału Konstytucyjnego z 4 czerwca 2024 r., bez względu na sposób </w:t>
      </w:r>
      <w:r w:rsidRPr="00A97B56">
        <w:rPr>
          <w:rFonts w:cstheme="minorHAnsi"/>
        </w:rPr>
        <w:t>nazewnictwa tego pisma, tj. „skarga”, „wniosek”, „podanie”, zostanie przez organ rentowy zakwalifikowane jako skarga o wznowienie postępowania w trybie art. 145a k.p.a.</w:t>
      </w:r>
    </w:p>
    <w:p w14:paraId="4E2FD89C" w14:textId="77777777" w:rsidR="00AA0EF4" w:rsidRPr="00CC3323" w:rsidRDefault="00AA0EF4" w:rsidP="00AA0EF4">
      <w:pPr>
        <w:spacing w:before="120" w:after="120"/>
        <w:jc w:val="both"/>
        <w:rPr>
          <w:rFonts w:cstheme="minorHAnsi"/>
        </w:rPr>
      </w:pPr>
      <w:r w:rsidRPr="00A97B56">
        <w:rPr>
          <w:rFonts w:cstheme="minorHAnsi"/>
        </w:rPr>
        <w:t xml:space="preserve">Jednocześnie informuję, że Departament Świadczeń Emerytalno-Rentowych nie prowadzi analiz prawnych dotyczących wznowienia postępowania z w sprawie wyroku </w:t>
      </w:r>
      <w:r>
        <w:rPr>
          <w:rFonts w:cstheme="minorHAnsi"/>
        </w:rPr>
        <w:t>TK.</w:t>
      </w:r>
    </w:p>
    <w:p w14:paraId="1C95A5C7" w14:textId="77777777" w:rsidR="009629E0" w:rsidRDefault="009629E0"/>
    <w:sectPr w:rsidR="0096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DF125" w14:textId="77777777" w:rsidR="00153027" w:rsidRDefault="00153027" w:rsidP="00AA0EF4">
      <w:pPr>
        <w:spacing w:after="0" w:line="240" w:lineRule="auto"/>
      </w:pPr>
      <w:r>
        <w:separator/>
      </w:r>
    </w:p>
  </w:endnote>
  <w:endnote w:type="continuationSeparator" w:id="0">
    <w:p w14:paraId="07401907" w14:textId="77777777" w:rsidR="00153027" w:rsidRDefault="00153027" w:rsidP="00AA0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E70A4" w14:textId="77777777" w:rsidR="00153027" w:rsidRDefault="00153027" w:rsidP="00AA0EF4">
      <w:pPr>
        <w:spacing w:after="0" w:line="240" w:lineRule="auto"/>
      </w:pPr>
      <w:r>
        <w:separator/>
      </w:r>
    </w:p>
  </w:footnote>
  <w:footnote w:type="continuationSeparator" w:id="0">
    <w:p w14:paraId="7CAE6AFD" w14:textId="77777777" w:rsidR="00153027" w:rsidRDefault="00153027" w:rsidP="00AA0EF4">
      <w:pPr>
        <w:spacing w:after="0" w:line="240" w:lineRule="auto"/>
      </w:pPr>
      <w:r>
        <w:continuationSeparator/>
      </w:r>
    </w:p>
  </w:footnote>
  <w:footnote w:id="1">
    <w:p w14:paraId="068F7987" w14:textId="77777777" w:rsidR="00AA0EF4" w:rsidRPr="00AA0EF4" w:rsidRDefault="00AA0EF4" w:rsidP="00AA0EF4">
      <w:pPr>
        <w:pStyle w:val="Tekstprzypisudolnego"/>
        <w:jc w:val="both"/>
        <w:rPr>
          <w:sz w:val="22"/>
          <w:szCs w:val="22"/>
        </w:rPr>
      </w:pPr>
      <w:r w:rsidRPr="00A97B56">
        <w:rPr>
          <w:rStyle w:val="Odwoanieprzypisudolnego"/>
        </w:rPr>
        <w:footnoteRef/>
      </w:r>
      <w:r w:rsidRPr="00A97B56">
        <w:t xml:space="preserve"> </w:t>
      </w:r>
      <w:r w:rsidRPr="00AA0EF4">
        <w:rPr>
          <w:rFonts w:cstheme="minorHAnsi"/>
          <w:sz w:val="22"/>
          <w:szCs w:val="22"/>
        </w:rPr>
        <w:t>Ustawy z dnia 14 czerwca 1960 r. - Kodeks postępowania administracyjnego (Dz. U. z 2024 r. poz. 572), dalej jako k.p.a.</w:t>
      </w:r>
    </w:p>
  </w:footnote>
  <w:footnote w:id="2">
    <w:p w14:paraId="4935D6EE" w14:textId="77777777" w:rsidR="00AA0EF4" w:rsidRPr="00AA0EF4" w:rsidRDefault="00AA0EF4" w:rsidP="00AA0EF4">
      <w:pPr>
        <w:spacing w:after="0"/>
        <w:jc w:val="both"/>
      </w:pPr>
      <w:r w:rsidRPr="00AA0EF4">
        <w:rPr>
          <w:rStyle w:val="Odwoanieprzypisudolnego"/>
        </w:rPr>
        <w:footnoteRef/>
      </w:r>
      <w:r w:rsidRPr="00AA0EF4">
        <w:t xml:space="preserve"> art. </w:t>
      </w:r>
      <w:r w:rsidRPr="00AA0EF4">
        <w:rPr>
          <w:rFonts w:cstheme="minorHAnsi"/>
        </w:rPr>
        <w:t>145a § 1 k.p.a.</w:t>
      </w:r>
    </w:p>
  </w:footnote>
  <w:footnote w:id="3">
    <w:p w14:paraId="31834CB7" w14:textId="77777777" w:rsidR="00AA0EF4" w:rsidRPr="00AA0EF4" w:rsidRDefault="00AA0EF4" w:rsidP="00AA0EF4">
      <w:pPr>
        <w:pStyle w:val="Tekstprzypisudolnego"/>
        <w:jc w:val="both"/>
        <w:rPr>
          <w:sz w:val="22"/>
          <w:szCs w:val="22"/>
        </w:rPr>
      </w:pPr>
      <w:r w:rsidRPr="00AA0EF4">
        <w:rPr>
          <w:rStyle w:val="Odwoanieprzypisudolnego"/>
          <w:sz w:val="22"/>
          <w:szCs w:val="22"/>
        </w:rPr>
        <w:footnoteRef/>
      </w:r>
      <w:r w:rsidRPr="00AA0EF4">
        <w:rPr>
          <w:sz w:val="22"/>
          <w:szCs w:val="22"/>
        </w:rPr>
        <w:t xml:space="preserve"> art. </w:t>
      </w:r>
      <w:r w:rsidRPr="00AA0EF4">
        <w:rPr>
          <w:rFonts w:cstheme="minorHAnsi"/>
          <w:sz w:val="22"/>
          <w:szCs w:val="22"/>
        </w:rPr>
        <w:t>145a § 2 k.p.a.</w:t>
      </w:r>
    </w:p>
  </w:footnote>
  <w:footnote w:id="4">
    <w:p w14:paraId="1522E3AC" w14:textId="77777777" w:rsidR="00AA0EF4" w:rsidRPr="00A97B56" w:rsidRDefault="00AA0EF4" w:rsidP="00AA0EF4">
      <w:pPr>
        <w:pStyle w:val="Tekstprzypisudolnego"/>
        <w:jc w:val="both"/>
        <w:rPr>
          <w:sz w:val="22"/>
          <w:szCs w:val="22"/>
        </w:rPr>
      </w:pPr>
      <w:r w:rsidRPr="00A97B56">
        <w:rPr>
          <w:rStyle w:val="Odwoanieprzypisudolnego"/>
          <w:sz w:val="22"/>
          <w:szCs w:val="22"/>
        </w:rPr>
        <w:footnoteRef/>
      </w:r>
      <w:r w:rsidRPr="00A97B56">
        <w:rPr>
          <w:sz w:val="22"/>
          <w:szCs w:val="22"/>
        </w:rPr>
        <w:t xml:space="preserve"> </w:t>
      </w:r>
      <w:r w:rsidRPr="00A97B56">
        <w:rPr>
          <w:rFonts w:eastAsia="Times New Roman" w:cstheme="minorHAnsi"/>
          <w:sz w:val="22"/>
          <w:szCs w:val="22"/>
          <w:lang w:eastAsia="pl-PL"/>
        </w:rPr>
        <w:t xml:space="preserve">art. 83b ust.1 ustawy </w:t>
      </w:r>
      <w:r w:rsidRPr="00A97B56">
        <w:rPr>
          <w:sz w:val="22"/>
          <w:szCs w:val="22"/>
        </w:rPr>
        <w:t xml:space="preserve">z dnia 13 października 1998 r. o systemie ubezpieczeń społecznych (Dz. U. z 2024 r. poz. 497 z </w:t>
      </w:r>
      <w:proofErr w:type="spellStart"/>
      <w:r w:rsidRPr="00A97B56">
        <w:rPr>
          <w:sz w:val="22"/>
          <w:szCs w:val="22"/>
        </w:rPr>
        <w:t>późn</w:t>
      </w:r>
      <w:proofErr w:type="spellEnd"/>
      <w:r w:rsidRPr="00A97B56">
        <w:rPr>
          <w:sz w:val="22"/>
          <w:szCs w:val="22"/>
        </w:rPr>
        <w:t>. zm.), dalej jako ustawa systemowa</w:t>
      </w:r>
    </w:p>
  </w:footnote>
  <w:footnote w:id="5">
    <w:p w14:paraId="7684F321" w14:textId="77777777" w:rsidR="00AA0EF4" w:rsidRPr="00AE25D6" w:rsidRDefault="00AA0EF4" w:rsidP="00AA0EF4">
      <w:pPr>
        <w:pStyle w:val="Tekstprzypisudolnego"/>
        <w:jc w:val="both"/>
        <w:rPr>
          <w:sz w:val="22"/>
          <w:szCs w:val="22"/>
        </w:rPr>
      </w:pPr>
      <w:r w:rsidRPr="00A97B56">
        <w:rPr>
          <w:rStyle w:val="Odwoanieprzypisudolnego"/>
          <w:sz w:val="22"/>
          <w:szCs w:val="22"/>
        </w:rPr>
        <w:footnoteRef/>
      </w:r>
      <w:r w:rsidRPr="00A97B56">
        <w:rPr>
          <w:sz w:val="22"/>
          <w:szCs w:val="22"/>
        </w:rPr>
        <w:t xml:space="preserve"> </w:t>
      </w:r>
      <w:r w:rsidRPr="00A97B56">
        <w:rPr>
          <w:rFonts w:eastAsia="Times New Roman" w:cstheme="minorHAnsi"/>
          <w:sz w:val="22"/>
          <w:szCs w:val="22"/>
          <w:lang w:eastAsia="pl-PL"/>
        </w:rPr>
        <w:t>art. 83 ust. 2 ustawy systemowej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F4"/>
    <w:rsid w:val="00153027"/>
    <w:rsid w:val="0047316D"/>
    <w:rsid w:val="009629E0"/>
    <w:rsid w:val="00AA0EF4"/>
    <w:rsid w:val="00AE06FD"/>
    <w:rsid w:val="00D95909"/>
    <w:rsid w:val="00F9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1629"/>
  <w15:docId w15:val="{F9AFDFCF-A80A-4D47-A69B-985A2C84C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0E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A0E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0E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0E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0EF4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AA0EF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A0EF4"/>
    <w:rPr>
      <w:rFonts w:ascii="Calibri" w:hAnsi="Calibri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AA0E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gm4dknjoobqxalrrguztinzxgq4a&amp;refSource=hyplin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sgm4dknjoobqxalrvg4ztemruguya&amp;refSource=hypli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sgm4dknjoobqxalrrgezdenzxgm4a&amp;refSource=hyplin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Kostecka, Anna</dc:creator>
  <cp:lastModifiedBy>Król Tomasz</cp:lastModifiedBy>
  <cp:revision>2</cp:revision>
  <dcterms:created xsi:type="dcterms:W3CDTF">2024-09-25T18:44:00Z</dcterms:created>
  <dcterms:modified xsi:type="dcterms:W3CDTF">2024-09-25T18:44:00Z</dcterms:modified>
</cp:coreProperties>
</file>